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C5993" w14:textId="29772CE3" w:rsidR="00024107" w:rsidRPr="006E473F" w:rsidRDefault="00024107" w:rsidP="000241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024107">
        <w:rPr>
          <w:b/>
          <w:i/>
          <w:noProof/>
          <w:sz w:val="24"/>
          <w:szCs w:val="24"/>
          <w:lang w:eastAsia="ko-KR"/>
        </w:rPr>
        <w:t>164024</w:t>
      </w:r>
    </w:p>
    <w:bookmarkEnd w:id="0"/>
    <w:bookmarkEnd w:id="1"/>
    <w:p w14:paraId="56456260" w14:textId="77777777" w:rsidR="00024107" w:rsidRPr="00DD3A0A" w:rsidRDefault="00024107" w:rsidP="00024107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 w:rsidRPr="00DD3A0A">
        <w:rPr>
          <w:rFonts w:eastAsia="MS Mincho" w:cs="Arial" w:hint="eastAsia"/>
          <w:b/>
          <w:bCs/>
          <w:sz w:val="24"/>
          <w:lang w:val="en-US" w:eastAsia="ja-JP"/>
        </w:rPr>
        <w:t>N</w:t>
      </w:r>
      <w:r w:rsidRPr="00DD3A0A">
        <w:rPr>
          <w:rFonts w:eastAsia="MS Mincho" w:cs="Arial"/>
          <w:b/>
          <w:bCs/>
          <w:sz w:val="24"/>
          <w:lang w:val="en-US" w:eastAsia="ja-JP"/>
        </w:rPr>
        <w:t>a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njing</w:t>
      </w:r>
      <w:r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China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23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rd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27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May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03239991" w14:textId="0FB82BB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E2938">
        <w:rPr>
          <w:rFonts w:ascii="Arial" w:hAnsi="Arial"/>
          <w:sz w:val="24"/>
          <w:lang w:eastAsia="ko-KR"/>
        </w:rPr>
        <w:t>7.</w:t>
      </w:r>
      <w:r w:rsidR="006F4D44">
        <w:rPr>
          <w:rFonts w:ascii="Arial" w:hAnsi="Arial"/>
          <w:sz w:val="24"/>
          <w:lang w:eastAsia="ko-KR"/>
        </w:rPr>
        <w:t>1.</w:t>
      </w:r>
      <w:r w:rsidR="00F432E5">
        <w:rPr>
          <w:rFonts w:ascii="Arial" w:hAnsi="Arial"/>
          <w:sz w:val="24"/>
          <w:lang w:eastAsia="ko-KR"/>
        </w:rPr>
        <w:t>7</w:t>
      </w:r>
    </w:p>
    <w:p w14:paraId="07C70B19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A017321" w14:textId="3408830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15A3E">
        <w:rPr>
          <w:rFonts w:ascii="Arial" w:hAnsi="Arial"/>
          <w:sz w:val="24"/>
        </w:rPr>
        <w:t xml:space="preserve">Shared spectrum support for </w:t>
      </w:r>
      <w:r w:rsidR="006400D0">
        <w:rPr>
          <w:rFonts w:ascii="Arial" w:hAnsi="Arial"/>
          <w:sz w:val="24"/>
        </w:rPr>
        <w:t>NR</w:t>
      </w:r>
    </w:p>
    <w:p w14:paraId="24AAC0E7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5B7154A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BB89AA4" w14:textId="0455FF76" w:rsidR="00C6489F" w:rsidRDefault="006F4D44" w:rsidP="00AC3BC2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study item on ‘</w:t>
      </w:r>
      <w:r w:rsidRPr="006F4D44">
        <w:t>New Radio Access Technology</w:t>
      </w:r>
      <w:r>
        <w:t>’ was approved [1]</w:t>
      </w:r>
      <w:r w:rsidR="003F00C5">
        <w:t xml:space="preserve"> based on consensus that a new non-backward compatible radio access technology need</w:t>
      </w:r>
      <w:r w:rsidR="008E13C2">
        <w:t>s</w:t>
      </w:r>
      <w:r w:rsidR="003F00C5">
        <w:t xml:space="preserve"> to be developed in order to meet the challenges of next generation cellular communications. The </w:t>
      </w:r>
      <w:r w:rsidR="00C6489F">
        <w:t>SI</w:t>
      </w:r>
      <w:r w:rsidR="003F00C5">
        <w:t xml:space="preserve"> will study and evaluate potential technologies </w:t>
      </w:r>
      <w:r w:rsidR="0027088A">
        <w:t>targeted for meeting key NR requirements under future NR</w:t>
      </w:r>
      <w:r w:rsidR="00C6489F">
        <w:t xml:space="preserve"> deployment scenarios and applications.</w:t>
      </w:r>
    </w:p>
    <w:p w14:paraId="1411487E" w14:textId="1E8BC63A" w:rsidR="00F432E5" w:rsidRDefault="002730E1" w:rsidP="00290A8A">
      <w:pPr>
        <w:pStyle w:val="maintext"/>
        <w:ind w:firstLine="400"/>
      </w:pPr>
      <w:r>
        <w:t xml:space="preserve">It is stated </w:t>
      </w:r>
      <w:r w:rsidR="00AC10FE">
        <w:t xml:space="preserve">in </w:t>
      </w:r>
      <w:r>
        <w:fldChar w:fldCharType="begin"/>
      </w:r>
      <w:r>
        <w:instrText xml:space="preserve"> REF _Ref446582202 \n \h </w:instrText>
      </w:r>
      <w:r>
        <w:fldChar w:fldCharType="separate"/>
      </w:r>
      <w:r>
        <w:t>[2]</w:t>
      </w:r>
      <w:r>
        <w:fldChar w:fldCharType="end"/>
      </w:r>
      <w:r>
        <w:t xml:space="preserve"> that </w:t>
      </w:r>
      <w:r w:rsidR="006C39C1" w:rsidRPr="008B1951">
        <w:rPr>
          <w:rFonts w:eastAsia="MS Mincho"/>
          <w:lang w:val="en-US"/>
        </w:rPr>
        <w:t xml:space="preserve">Next Generation Radio Access Technologies </w:t>
      </w:r>
      <w:r w:rsidR="006C39C1">
        <w:rPr>
          <w:rFonts w:eastAsia="SimSun" w:hint="eastAsia"/>
          <w:lang w:eastAsia="zh-CN"/>
        </w:rPr>
        <w:t>should support efficient mechanisms to share spectrum with other IMT/Non-IMT systems</w:t>
      </w:r>
      <w:r w:rsidR="00F94410">
        <w:t>.</w:t>
      </w:r>
      <w:r w:rsidR="0097394E">
        <w:t xml:space="preserve"> The spectrums shared with other IMT/Non-IMT systems include shared spectrums (e.g.</w:t>
      </w:r>
      <w:r w:rsidR="00543D3F">
        <w:t>,</w:t>
      </w:r>
      <w:r w:rsidR="0097394E">
        <w:t xml:space="preserve"> 3.5GHz band and potentially 37GHz band in the US) as well as unlicensed spectrums such as 5GHz, 60GHz bands.</w:t>
      </w:r>
      <w:r w:rsidR="008C293C">
        <w:t xml:space="preserve"> In this contribution, we present our views on</w:t>
      </w:r>
      <w:r w:rsidR="0097394E">
        <w:t xml:space="preserve"> </w:t>
      </w:r>
      <w:r w:rsidR="0014333B">
        <w:t xml:space="preserve">the shared spectrum support for </w:t>
      </w:r>
      <w:r w:rsidR="0027088A">
        <w:t>NR</w:t>
      </w:r>
      <w:r w:rsidR="0014333B">
        <w:t>.</w:t>
      </w:r>
      <w:r w:rsidR="0097394E">
        <w:t xml:space="preserve"> </w:t>
      </w:r>
    </w:p>
    <w:p w14:paraId="7616C51D" w14:textId="1A948932" w:rsidR="003E633B" w:rsidRDefault="001A5151" w:rsidP="00E57A94">
      <w:pPr>
        <w:pStyle w:val="Heading1"/>
        <w:tabs>
          <w:tab w:val="num" w:pos="0"/>
        </w:tabs>
        <w:ind w:left="799" w:hanging="799"/>
      </w:pPr>
      <w:r>
        <w:t xml:space="preserve">Shared spectrum support for </w:t>
      </w:r>
      <w:r w:rsidR="0027088A">
        <w:t>NR</w:t>
      </w:r>
    </w:p>
    <w:p w14:paraId="6294E457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508D2B9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88B303" w14:textId="0993E988" w:rsidR="002833E0" w:rsidRDefault="00A811A8" w:rsidP="009E148A">
      <w:pPr>
        <w:pStyle w:val="maintext"/>
        <w:ind w:firstLineChars="0" w:firstLine="450"/>
      </w:pPr>
      <w:r>
        <w:t>Listen-before-talk (LBT)</w:t>
      </w:r>
      <w:r w:rsidR="00AD265D">
        <w:t xml:space="preserve"> </w:t>
      </w:r>
      <w:r>
        <w:t>has been the cornerstone of co-existence mechanism f</w:t>
      </w:r>
      <w:r w:rsidR="0097394E">
        <w:t>or</w:t>
      </w:r>
      <w:r w:rsidR="008C1525">
        <w:t xml:space="preserve"> LAA in Rel-13 and now Rel-14</w:t>
      </w:r>
      <w:r w:rsidR="0097394E">
        <w:t>.</w:t>
      </w:r>
      <w:r w:rsidR="0008772F">
        <w:t xml:space="preserve"> While </w:t>
      </w:r>
      <w:r w:rsidR="00482C6F">
        <w:t xml:space="preserve">the current </w:t>
      </w:r>
      <w:r w:rsidR="003725A0">
        <w:t xml:space="preserve">energy detection (ED) based </w:t>
      </w:r>
      <w:r w:rsidR="0008772F">
        <w:t>LBT proved</w:t>
      </w:r>
      <w:r w:rsidR="008C1525">
        <w:t xml:space="preserve"> to be an effective channel access mechanism </w:t>
      </w:r>
      <w:r w:rsidR="004C0AD6">
        <w:t xml:space="preserve">for LAA </w:t>
      </w:r>
      <w:r w:rsidR="008C1525">
        <w:t>from co-existence viewpoint, there are new cha</w:t>
      </w:r>
      <w:r w:rsidR="009E148A">
        <w:t xml:space="preserve">llenges to be considered for </w:t>
      </w:r>
      <w:r w:rsidR="0027088A">
        <w:t>NR</w:t>
      </w:r>
      <w:r w:rsidR="009E148A">
        <w:t>.</w:t>
      </w:r>
      <w:r w:rsidR="008C1525">
        <w:t xml:space="preserve"> </w:t>
      </w:r>
      <w:r w:rsidR="004C0AD6">
        <w:t>A couple of examples are given below.</w:t>
      </w:r>
    </w:p>
    <w:p w14:paraId="1D484F96" w14:textId="08D96AA1" w:rsidR="00566449" w:rsidRDefault="0019087A" w:rsidP="002833E0">
      <w:pPr>
        <w:pStyle w:val="maintext"/>
        <w:ind w:firstLineChars="0" w:firstLine="450"/>
      </w:pPr>
      <w:r>
        <w:t xml:space="preserve">At </w:t>
      </w:r>
      <w:proofErr w:type="spellStart"/>
      <w:r>
        <w:t>mmWave</w:t>
      </w:r>
      <w:proofErr w:type="spellEnd"/>
      <w:r>
        <w:t xml:space="preserve"> bands, DL/UL links can be highly directional to compensate for the large path loss. However,</w:t>
      </w:r>
      <w:r w:rsidR="002833E0">
        <w:t xml:space="preserve"> </w:t>
      </w:r>
      <w:r w:rsidR="003725A0">
        <w:t>ED-</w:t>
      </w:r>
      <w:r w:rsidR="002833E0">
        <w:t xml:space="preserve">LBT </w:t>
      </w:r>
      <w:r w:rsidR="006037D6">
        <w:t>f</w:t>
      </w:r>
      <w:r w:rsidR="003725A0">
        <w:t>or LAA was</w:t>
      </w:r>
      <w:r w:rsidR="003F0A86">
        <w:t xml:space="preserve"> designed with</w:t>
      </w:r>
      <w:r w:rsidR="003725A0">
        <w:t>out consideration for</w:t>
      </w:r>
      <w:r w:rsidR="003F0A86">
        <w:t xml:space="preserve"> </w:t>
      </w:r>
      <w:r w:rsidR="006037D6">
        <w:t xml:space="preserve">highly directional DL/UL links. </w:t>
      </w:r>
      <w:r w:rsidR="006A4613">
        <w:t>Figure 1 illustrates different outcomes of LBT for non-beamforming based systems (Figure 1(a)) and beamforming based systems (Figure 1(b)</w:t>
      </w:r>
      <w:r w:rsidR="000F504B">
        <w:t xml:space="preserve"> and Figure 1(c)</w:t>
      </w:r>
      <w:r w:rsidR="006A4613">
        <w:t>).</w:t>
      </w:r>
      <w:r w:rsidR="00D2385D">
        <w:t xml:space="preserve"> In Figure 1(a), RAT1 BS transmits to RAT1 UE</w:t>
      </w:r>
      <w:r w:rsidR="00034318">
        <w:t xml:space="preserve"> with</w:t>
      </w:r>
      <w:bookmarkStart w:id="4" w:name="_GoBack"/>
      <w:bookmarkEnd w:id="4"/>
      <w:r w:rsidR="00034318">
        <w:t>out beamforming</w:t>
      </w:r>
      <w:r w:rsidR="00D2385D">
        <w:t>.</w:t>
      </w:r>
      <w:r w:rsidR="00034318">
        <w:t xml:space="preserve"> RAT2 BS senses the transmiss</w:t>
      </w:r>
      <w:r w:rsidR="00FA518B">
        <w:t>ion of RAT1 BS and does not transmit to RAT2 UE. On the other hand, if both RAT1 and RAT2 are beamforming based systems as shown in Figure 1(b)</w:t>
      </w:r>
      <w:r w:rsidR="008E5AB4">
        <w:t xml:space="preserve"> and Figure 1(c)</w:t>
      </w:r>
      <w:r w:rsidR="00FA518B">
        <w:t xml:space="preserve">, RAT2 BS may not be able to detect the energy of RAT1 BS and hence transmits to RAT2 UE. </w:t>
      </w:r>
      <w:r w:rsidR="00FB62B8">
        <w:t>If both RAT1 and RAT</w:t>
      </w:r>
      <w:r w:rsidR="007E512B">
        <w:t>2</w:t>
      </w:r>
      <w:r w:rsidR="00FB62B8">
        <w:t xml:space="preserve"> UEs are within the coverage of RAT1 and RAT2 BSs, both RAT1 UE and RAT2 UE </w:t>
      </w:r>
      <w:r w:rsidR="00572EEE">
        <w:t xml:space="preserve">might </w:t>
      </w:r>
      <w:r w:rsidR="00FB62B8">
        <w:t>fail to receive the re</w:t>
      </w:r>
      <w:r w:rsidR="004A62EF">
        <w:t>s</w:t>
      </w:r>
      <w:r w:rsidR="00FB62B8">
        <w:t>pective transmissions due to inter-RAT interference</w:t>
      </w:r>
      <w:r w:rsidR="008E5AB4">
        <w:t xml:space="preserve"> depending on the support of </w:t>
      </w:r>
      <w:proofErr w:type="spellStart"/>
      <w:proofErr w:type="gramStart"/>
      <w:r w:rsidR="008E5AB4">
        <w:t>Tx</w:t>
      </w:r>
      <w:proofErr w:type="spellEnd"/>
      <w:proofErr w:type="gramEnd"/>
      <w:r w:rsidR="008E5AB4">
        <w:t xml:space="preserve"> and Rx </w:t>
      </w:r>
      <w:proofErr w:type="spellStart"/>
      <w:r w:rsidR="008E5AB4">
        <w:t>beamforming</w:t>
      </w:r>
      <w:proofErr w:type="spellEnd"/>
      <w:r w:rsidR="008E5AB4">
        <w:t xml:space="preserve"> at the BS and UE respectively</w:t>
      </w:r>
      <w:r w:rsidR="00FB62B8">
        <w:t>.</w:t>
      </w:r>
      <w:r w:rsidR="00536C1A">
        <w:t xml:space="preserve"> Clearly, there is a need to study enhanced LBT</w:t>
      </w:r>
      <w:r w:rsidR="00E11A93">
        <w:t xml:space="preserve"> schemes that can be effective for beamforming based systems.</w:t>
      </w:r>
      <w:r w:rsidR="00536C1A">
        <w:t xml:space="preserve"> </w:t>
      </w:r>
      <w:r w:rsidR="00D2385D">
        <w:t xml:space="preserve">  </w:t>
      </w:r>
      <w:r w:rsidR="006A4613">
        <w:t xml:space="preserve"> </w:t>
      </w:r>
      <w:r w:rsidR="008C1525">
        <w:t xml:space="preserve"> </w:t>
      </w:r>
    </w:p>
    <w:p w14:paraId="7A21EAA1" w14:textId="3810F485" w:rsidR="002833E0" w:rsidRDefault="008E5AB4" w:rsidP="008E5AB4">
      <w:pPr>
        <w:pStyle w:val="maintext"/>
        <w:ind w:firstLineChars="0" w:firstLine="450"/>
        <w:jc w:val="center"/>
      </w:pPr>
      <w:r>
        <w:rPr>
          <w:noProof/>
          <w:lang w:val="en-US" w:eastAsia="zh-CN"/>
        </w:rPr>
        <w:drawing>
          <wp:inline distT="0" distB="0" distL="0" distR="0" wp14:anchorId="600F2AE0" wp14:editId="5C894D7E">
            <wp:extent cx="2419506" cy="1542554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088" cy="1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980735" w14:textId="77777777" w:rsidR="008E5AB4" w:rsidRDefault="00491221" w:rsidP="000965D0">
      <w:pPr>
        <w:pStyle w:val="maintext"/>
        <w:numPr>
          <w:ilvl w:val="0"/>
          <w:numId w:val="50"/>
        </w:numPr>
        <w:ind w:firstLineChars="0"/>
        <w:jc w:val="center"/>
      </w:pPr>
      <w:r>
        <w:t>Non-beamforming based</w:t>
      </w:r>
      <w:r w:rsidR="000965D0">
        <w:t xml:space="preserve"> systems     </w:t>
      </w:r>
    </w:p>
    <w:p w14:paraId="25FAE060" w14:textId="77777777" w:rsidR="008E5AB4" w:rsidRDefault="008E5AB4" w:rsidP="008E5AB4">
      <w:pPr>
        <w:pStyle w:val="maintext"/>
        <w:ind w:firstLineChars="0"/>
        <w:jc w:val="center"/>
      </w:pPr>
    </w:p>
    <w:p w14:paraId="7D815899" w14:textId="50679079" w:rsidR="008E5AB4" w:rsidRDefault="008E5AB4" w:rsidP="008E5AB4">
      <w:pPr>
        <w:pStyle w:val="maintext"/>
        <w:ind w:firstLineChars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6422ACC" wp14:editId="13B0B568">
            <wp:extent cx="5876013" cy="165770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183" cy="165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965D0">
        <w:t xml:space="preserve">              </w:t>
      </w:r>
    </w:p>
    <w:p w14:paraId="0E60B355" w14:textId="08A170E2" w:rsidR="008E5AB4" w:rsidRDefault="008E5AB4" w:rsidP="008E5AB4">
      <w:pPr>
        <w:pStyle w:val="maintext"/>
        <w:ind w:firstLineChars="0"/>
        <w:jc w:val="left"/>
      </w:pPr>
      <w:r>
        <w:t xml:space="preserve">     (b) Systems with </w:t>
      </w:r>
      <w:proofErr w:type="spellStart"/>
      <w:proofErr w:type="gramStart"/>
      <w:r>
        <w:t>Tx</w:t>
      </w:r>
      <w:proofErr w:type="spellEnd"/>
      <w:proofErr w:type="gramEnd"/>
      <w:r>
        <w:t xml:space="preserve"> </w:t>
      </w:r>
      <w:proofErr w:type="spellStart"/>
      <w:r>
        <w:t>beamforming</w:t>
      </w:r>
      <w:proofErr w:type="spellEnd"/>
      <w:r>
        <w:t xml:space="preserve">               (c) Systems with </w:t>
      </w:r>
      <w:proofErr w:type="spellStart"/>
      <w:r>
        <w:t>Tx</w:t>
      </w:r>
      <w:proofErr w:type="spellEnd"/>
      <w:r>
        <w:t xml:space="preserve">/Rx </w:t>
      </w:r>
      <w:proofErr w:type="spellStart"/>
      <w:r>
        <w:t>beamforming</w:t>
      </w:r>
      <w:proofErr w:type="spellEnd"/>
    </w:p>
    <w:p w14:paraId="6677AA79" w14:textId="797C062D" w:rsidR="00491221" w:rsidRDefault="00491221" w:rsidP="004912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Non-beamforming based system</w:t>
      </w:r>
      <w:r w:rsidR="000F504B">
        <w:t>s</w:t>
      </w:r>
      <w:r>
        <w:t xml:space="preserve"> </w:t>
      </w:r>
      <w:r w:rsidR="00C8319F">
        <w:t>vs</w:t>
      </w:r>
      <w:r w:rsidR="000F504B">
        <w:t>.</w:t>
      </w:r>
      <w:r w:rsidR="00C8319F">
        <w:t xml:space="preserve"> beamforming</w:t>
      </w:r>
      <w:r>
        <w:t xml:space="preserve"> based system</w:t>
      </w:r>
      <w:r w:rsidR="008E5AB4">
        <w:t>s</w:t>
      </w:r>
    </w:p>
    <w:p w14:paraId="17D3C8A8" w14:textId="77777777" w:rsidR="005E602E" w:rsidRDefault="005E602E" w:rsidP="008C1525">
      <w:pPr>
        <w:pStyle w:val="maintext"/>
        <w:ind w:firstLineChars="0" w:firstLine="450"/>
      </w:pPr>
    </w:p>
    <w:p w14:paraId="32C5A2BC" w14:textId="77777777" w:rsidR="00AA44D8" w:rsidRDefault="00AA44D8" w:rsidP="00AA44D8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</w:t>
      </w:r>
      <w:r w:rsidR="00536C1A">
        <w:rPr>
          <w:b/>
        </w:rPr>
        <w:t xml:space="preserve">provide </w:t>
      </w:r>
      <w:r>
        <w:rPr>
          <w:b/>
        </w:rPr>
        <w:t xml:space="preserve">effective </w:t>
      </w:r>
      <w:r w:rsidR="00536C1A">
        <w:rPr>
          <w:b/>
        </w:rPr>
        <w:t>co-existence among</w:t>
      </w:r>
      <w:r>
        <w:rPr>
          <w:b/>
        </w:rPr>
        <w:t xml:space="preserve"> systems with highly directional DL/UL links.</w:t>
      </w:r>
    </w:p>
    <w:p w14:paraId="3F31AF1F" w14:textId="6E608F1B" w:rsidR="00027510" w:rsidRDefault="00E11A93" w:rsidP="00133FBC">
      <w:pPr>
        <w:pStyle w:val="maintext"/>
        <w:ind w:firstLineChars="0" w:firstLine="450"/>
        <w:rPr>
          <w:lang w:val="en-US"/>
        </w:rPr>
      </w:pPr>
      <w:r>
        <w:t>T</w:t>
      </w:r>
      <w:r w:rsidR="000D2C15">
        <w:t xml:space="preserve">he current LBT </w:t>
      </w:r>
      <w:r w:rsidR="0089496A">
        <w:t xml:space="preserve">protocol adopted for LAA is appropriate since co-existence </w:t>
      </w:r>
      <w:r w:rsidR="00E77EBE">
        <w:t>with Wi-Fi was the requirement. The requirement to co-exist with Wi-Fi also motivated the LBT protocol design for LAA which share</w:t>
      </w:r>
      <w:r w:rsidR="00572EEE">
        <w:t>s</w:t>
      </w:r>
      <w:r w:rsidR="00E77EBE">
        <w:t xml:space="preserve"> many similar elements as Wi-Fi’</w:t>
      </w:r>
      <w:r w:rsidR="00066812">
        <w:t>s LBT protocol</w:t>
      </w:r>
      <w:r w:rsidR="00E77EBE">
        <w:t xml:space="preserve">. </w:t>
      </w:r>
      <w:r w:rsidR="007437D3">
        <w:t xml:space="preserve">However, </w:t>
      </w:r>
      <w:r w:rsidR="007437D3">
        <w:rPr>
          <w:lang w:val="en-US"/>
        </w:rPr>
        <w:t>w</w:t>
      </w:r>
      <w:r w:rsidR="00AC52A7">
        <w:rPr>
          <w:lang w:val="en-US"/>
        </w:rPr>
        <w:t xml:space="preserve">hen </w:t>
      </w:r>
      <w:r w:rsidR="00125E0D">
        <w:rPr>
          <w:lang w:val="en-US"/>
        </w:rPr>
        <w:t>co-exist</w:t>
      </w:r>
      <w:r w:rsidR="00AC52A7">
        <w:rPr>
          <w:lang w:val="en-US"/>
        </w:rPr>
        <w:t>ence</w:t>
      </w:r>
      <w:r w:rsidR="00125E0D">
        <w:rPr>
          <w:lang w:val="en-US"/>
        </w:rPr>
        <w:t xml:space="preserve"> with Wi-Fi</w:t>
      </w:r>
      <w:r w:rsidR="00AC52A7">
        <w:rPr>
          <w:lang w:val="en-US"/>
        </w:rPr>
        <w:t xml:space="preserve"> (or other LBT-based systems) is not requ</w:t>
      </w:r>
      <w:r w:rsidR="000B671C">
        <w:rPr>
          <w:lang w:val="en-US"/>
        </w:rPr>
        <w:t>ir</w:t>
      </w:r>
      <w:r w:rsidR="00AC52A7">
        <w:rPr>
          <w:lang w:val="en-US"/>
        </w:rPr>
        <w:t>ed</w:t>
      </w:r>
      <w:r w:rsidR="007437D3">
        <w:rPr>
          <w:lang w:val="en-US"/>
        </w:rPr>
        <w:t xml:space="preserve">, co-existence mechanisms </w:t>
      </w:r>
      <w:r w:rsidR="00125E0D">
        <w:rPr>
          <w:lang w:val="en-US"/>
        </w:rPr>
        <w:t>need</w:t>
      </w:r>
      <w:r w:rsidR="007437D3">
        <w:rPr>
          <w:lang w:val="en-US"/>
        </w:rPr>
        <w:t xml:space="preserve"> not be limited to LBT</w:t>
      </w:r>
      <w:r>
        <w:rPr>
          <w:lang w:val="en-US"/>
        </w:rPr>
        <w:t xml:space="preserve">. An alternative to </w:t>
      </w:r>
      <w:r w:rsidR="00536C1A">
        <w:rPr>
          <w:lang w:val="en-US"/>
        </w:rPr>
        <w:t xml:space="preserve">distributed or uncoordinated </w:t>
      </w:r>
      <w:r w:rsidR="00E61EA9">
        <w:rPr>
          <w:lang w:val="en-US"/>
        </w:rPr>
        <w:t>LBT</w:t>
      </w:r>
      <w:r>
        <w:rPr>
          <w:lang w:val="en-US"/>
        </w:rPr>
        <w:t xml:space="preserve"> is </w:t>
      </w:r>
      <w:r w:rsidR="003850A9">
        <w:rPr>
          <w:lang w:val="en-US"/>
        </w:rPr>
        <w:t xml:space="preserve">to </w:t>
      </w:r>
      <w:r w:rsidR="00E61EA9">
        <w:rPr>
          <w:lang w:val="en-US"/>
        </w:rPr>
        <w:t>enable</w:t>
      </w:r>
      <w:r w:rsidR="00572EEE">
        <w:rPr>
          <w:lang w:val="en-US"/>
        </w:rPr>
        <w:t xml:space="preserve"> access to shared spectrum </w:t>
      </w:r>
      <w:r w:rsidR="003850A9">
        <w:rPr>
          <w:lang w:val="en-US"/>
        </w:rPr>
        <w:t>via a central coordinator node</w:t>
      </w:r>
      <w:r w:rsidR="00E61EA9">
        <w:rPr>
          <w:lang w:val="en-US"/>
        </w:rPr>
        <w:t xml:space="preserve"> or entity</w:t>
      </w:r>
      <w:r w:rsidR="003850A9">
        <w:rPr>
          <w:lang w:val="en-US"/>
        </w:rPr>
        <w:t>.</w:t>
      </w:r>
      <w:r>
        <w:rPr>
          <w:lang w:val="en-US"/>
        </w:rPr>
        <w:t xml:space="preserve"> </w:t>
      </w:r>
      <w:r w:rsidR="00536C1A">
        <w:rPr>
          <w:lang w:val="en-US"/>
        </w:rPr>
        <w:t>An example</w:t>
      </w:r>
      <w:r w:rsidR="00F9499B">
        <w:rPr>
          <w:lang w:val="en-US"/>
        </w:rPr>
        <w:t xml:space="preserve"> of such </w:t>
      </w:r>
      <w:r w:rsidR="00E61EA9">
        <w:rPr>
          <w:lang w:val="en-US"/>
        </w:rPr>
        <w:t>an approach</w:t>
      </w:r>
      <w:r w:rsidR="00536C1A">
        <w:rPr>
          <w:lang w:val="en-US"/>
        </w:rPr>
        <w:t xml:space="preserve"> is </w:t>
      </w:r>
      <w:r w:rsidR="003850A9">
        <w:rPr>
          <w:lang w:val="en-US"/>
        </w:rPr>
        <w:t xml:space="preserve">the Spectrum Access System (SAS) </w:t>
      </w:r>
      <w:r w:rsidR="00070429">
        <w:rPr>
          <w:lang w:val="en-US"/>
        </w:rPr>
        <w:t xml:space="preserve">(Figure 2) </w:t>
      </w:r>
      <w:r w:rsidR="00385714">
        <w:rPr>
          <w:lang w:val="en-US"/>
        </w:rPr>
        <w:t>which is</w:t>
      </w:r>
      <w:r w:rsidR="00520968">
        <w:rPr>
          <w:lang w:val="en-US"/>
        </w:rPr>
        <w:t xml:space="preserve"> </w:t>
      </w:r>
      <w:r w:rsidR="00385714">
        <w:rPr>
          <w:lang w:val="en-US"/>
        </w:rPr>
        <w:t xml:space="preserve">being </w:t>
      </w:r>
      <w:r w:rsidR="00520968">
        <w:rPr>
          <w:lang w:val="en-US"/>
        </w:rPr>
        <w:t xml:space="preserve">proposed </w:t>
      </w:r>
      <w:r w:rsidR="003850A9">
        <w:rPr>
          <w:lang w:val="en-US"/>
        </w:rPr>
        <w:t xml:space="preserve">for </w:t>
      </w:r>
      <w:r w:rsidR="00536C1A">
        <w:rPr>
          <w:lang w:val="en-US"/>
        </w:rPr>
        <w:t>the 3.5GHz spectrum in the US</w:t>
      </w:r>
      <w:r w:rsidR="00520968">
        <w:rPr>
          <w:lang w:val="en-US"/>
        </w:rPr>
        <w:t xml:space="preserve"> to enable sharing of the spectrum among three tiers of use</w:t>
      </w:r>
      <w:r w:rsidR="008E5AB4">
        <w:rPr>
          <w:lang w:val="en-US"/>
        </w:rPr>
        <w:t>r</w:t>
      </w:r>
      <w:r w:rsidR="00520968">
        <w:rPr>
          <w:lang w:val="en-US"/>
        </w:rPr>
        <w:t>s (the incumbents, Priority Access License (PAL) tier, and the General Authorized Access (GAA) tier)</w:t>
      </w:r>
      <w:r w:rsidR="00205BAC">
        <w:rPr>
          <w:lang w:val="en-US"/>
        </w:rPr>
        <w:t xml:space="preserve"> [3]</w:t>
      </w:r>
      <w:r w:rsidR="00520968">
        <w:rPr>
          <w:lang w:val="en-US"/>
        </w:rPr>
        <w:t>.</w:t>
      </w:r>
      <w:r w:rsidR="00661DDB">
        <w:rPr>
          <w:lang w:val="en-US"/>
        </w:rPr>
        <w:t xml:space="preserve"> </w:t>
      </w:r>
      <w:r w:rsidR="00027510">
        <w:rPr>
          <w:lang w:val="en-US"/>
        </w:rPr>
        <w:t>T</w:t>
      </w:r>
      <w:r w:rsidR="00027510">
        <w:rPr>
          <w:rFonts w:hint="eastAsia"/>
          <w:lang w:val="en-US"/>
        </w:rPr>
        <w:t xml:space="preserve">he SAS determines </w:t>
      </w:r>
      <w:r w:rsidR="00726BA5">
        <w:rPr>
          <w:lang w:val="en-US"/>
        </w:rPr>
        <w:t>a</w:t>
      </w:r>
      <w:r w:rsidR="00027510">
        <w:rPr>
          <w:rFonts w:hint="eastAsia"/>
          <w:lang w:val="en-US"/>
        </w:rPr>
        <w:t xml:space="preserve"> spectrum assignment based on reports from </w:t>
      </w:r>
      <w:r w:rsidR="00726BA5">
        <w:rPr>
          <w:lang w:val="en-US"/>
        </w:rPr>
        <w:t xml:space="preserve">the </w:t>
      </w:r>
      <w:r w:rsidR="00027510">
        <w:rPr>
          <w:rFonts w:hint="eastAsia"/>
          <w:lang w:val="en-US"/>
        </w:rPr>
        <w:t>ECS (</w:t>
      </w:r>
      <w:r w:rsidR="00027510" w:rsidRPr="00027510">
        <w:rPr>
          <w:lang w:val="en-US"/>
        </w:rPr>
        <w:t>Environmental Sensor Capability</w:t>
      </w:r>
      <w:r w:rsidR="00027510">
        <w:rPr>
          <w:rFonts w:hint="eastAsia"/>
          <w:lang w:val="en-US"/>
        </w:rPr>
        <w:t>)</w:t>
      </w:r>
      <w:r w:rsidR="00726BA5">
        <w:rPr>
          <w:lang w:val="en-US"/>
        </w:rPr>
        <w:t xml:space="preserve"> regarding </w:t>
      </w:r>
      <w:r w:rsidR="00726BA5">
        <w:rPr>
          <w:rFonts w:hint="eastAsia"/>
          <w:lang w:val="en-US"/>
        </w:rPr>
        <w:t>the presence or activity of the incumbents</w:t>
      </w:r>
      <w:r w:rsidR="00027510">
        <w:rPr>
          <w:rFonts w:hint="eastAsia"/>
          <w:lang w:val="en-US"/>
        </w:rPr>
        <w:t xml:space="preserve"> </w:t>
      </w:r>
      <w:r w:rsidR="003452F2">
        <w:rPr>
          <w:rFonts w:hint="eastAsia"/>
          <w:lang w:val="en-US"/>
        </w:rPr>
        <w:t>and</w:t>
      </w:r>
      <w:r w:rsidR="00726BA5">
        <w:rPr>
          <w:lang w:val="en-US"/>
        </w:rPr>
        <w:t xml:space="preserve"> interference/congestion reports from PAL/GAA </w:t>
      </w:r>
      <w:r w:rsidR="00027510">
        <w:rPr>
          <w:rFonts w:hint="eastAsia"/>
          <w:lang w:val="en-US"/>
        </w:rPr>
        <w:t>users</w:t>
      </w:r>
      <w:r w:rsidR="00726BA5">
        <w:rPr>
          <w:lang w:val="en-US"/>
        </w:rPr>
        <w:t xml:space="preserve"> [4]</w:t>
      </w:r>
      <w:r w:rsidR="00DF2A98">
        <w:rPr>
          <w:rFonts w:hint="eastAsia"/>
          <w:lang w:val="en-US"/>
        </w:rPr>
        <w:t xml:space="preserve">. </w:t>
      </w:r>
    </w:p>
    <w:p w14:paraId="244CAAB7" w14:textId="19215108" w:rsidR="00726BA5" w:rsidRDefault="0007221D" w:rsidP="00726BA5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C</w:t>
      </w:r>
      <w:r w:rsidR="00875BC3">
        <w:rPr>
          <w:lang w:val="en-US"/>
        </w:rPr>
        <w:t>entral</w:t>
      </w:r>
      <w:r w:rsidR="00562D1F">
        <w:rPr>
          <w:rFonts w:hint="eastAsia"/>
          <w:lang w:val="en-US"/>
        </w:rPr>
        <w:t>ized</w:t>
      </w:r>
      <w:r w:rsidR="00875BC3">
        <w:rPr>
          <w:lang w:val="en-US"/>
        </w:rPr>
        <w:t xml:space="preserve"> coordinat</w:t>
      </w:r>
      <w:r w:rsidR="00562D1F">
        <w:rPr>
          <w:rFonts w:hint="eastAsia"/>
          <w:lang w:val="en-US"/>
        </w:rPr>
        <w:t>ion</w:t>
      </w:r>
      <w:r w:rsidR="00875BC3">
        <w:rPr>
          <w:lang w:val="en-US"/>
        </w:rPr>
        <w:t xml:space="preserve"> is not the only option, d</w:t>
      </w:r>
      <w:r w:rsidR="00070429">
        <w:rPr>
          <w:lang w:val="en-US"/>
        </w:rPr>
        <w:t xml:space="preserve">ifferent distributed or uncoordinated protocols </w:t>
      </w:r>
      <w:r w:rsidR="00726BA5">
        <w:rPr>
          <w:lang w:val="en-US"/>
        </w:rPr>
        <w:t xml:space="preserve">other </w:t>
      </w:r>
      <w:r w:rsidR="00070429">
        <w:rPr>
          <w:lang w:val="en-US"/>
        </w:rPr>
        <w:t>than</w:t>
      </w:r>
      <w:r w:rsidR="00726BA5">
        <w:rPr>
          <w:lang w:val="en-US"/>
        </w:rPr>
        <w:t xml:space="preserve"> the</w:t>
      </w:r>
      <w:r w:rsidR="00070429">
        <w:rPr>
          <w:lang w:val="en-US"/>
        </w:rPr>
        <w:t xml:space="preserve"> LBT</w:t>
      </w:r>
      <w:r w:rsidR="00726BA5">
        <w:rPr>
          <w:lang w:val="en-US"/>
        </w:rPr>
        <w:t xml:space="preserve"> designed for LAA operation</w:t>
      </w:r>
      <w:r w:rsidR="00070429">
        <w:rPr>
          <w:lang w:val="en-US"/>
        </w:rPr>
        <w:t xml:space="preserve"> should also be considered. </w:t>
      </w:r>
      <w:r w:rsidR="00F17CB2">
        <w:rPr>
          <w:lang w:val="en-US"/>
        </w:rPr>
        <w:t>Moreover, a</w:t>
      </w:r>
      <w:r w:rsidR="00661DDB">
        <w:rPr>
          <w:lang w:val="en-US"/>
        </w:rPr>
        <w:t xml:space="preserve"> h</w:t>
      </w:r>
      <w:r w:rsidR="0038054F">
        <w:rPr>
          <w:lang w:val="en-US"/>
        </w:rPr>
        <w:t xml:space="preserve">ybrid of centrally coordinated and distributed co-existence </w:t>
      </w:r>
      <w:r w:rsidR="00CC1BA1">
        <w:rPr>
          <w:lang w:val="en-US"/>
        </w:rPr>
        <w:t xml:space="preserve">approaches </w:t>
      </w:r>
      <w:r w:rsidR="0038054F">
        <w:rPr>
          <w:lang w:val="en-US"/>
        </w:rPr>
        <w:t>is also possible</w:t>
      </w:r>
      <w:r w:rsidR="00F71947">
        <w:rPr>
          <w:rFonts w:hint="eastAsia"/>
          <w:lang w:val="en-US"/>
        </w:rPr>
        <w:t xml:space="preserve">, </w:t>
      </w:r>
      <w:r w:rsidR="00485007">
        <w:rPr>
          <w:lang w:val="en-US"/>
        </w:rPr>
        <w:t>depending on the deployment scenario or requirements for coordination</w:t>
      </w:r>
      <w:r w:rsidR="0038054F">
        <w:rPr>
          <w:lang w:val="en-US"/>
        </w:rPr>
        <w:t>.</w:t>
      </w:r>
      <w:r w:rsidR="00726BA5">
        <w:rPr>
          <w:lang w:val="en-US"/>
        </w:rPr>
        <w:t xml:space="preserve"> For example, in case of the SAS, </w:t>
      </w:r>
      <w:r w:rsidR="00726BA5">
        <w:rPr>
          <w:rFonts w:hint="eastAsia"/>
          <w:lang w:val="en-US"/>
        </w:rPr>
        <w:t>it is not guaranteed to assign spectrum in exclusive manner</w:t>
      </w:r>
      <w:r w:rsidR="0051040B">
        <w:rPr>
          <w:lang w:val="en-US"/>
        </w:rPr>
        <w:t>, but bandwidth</w:t>
      </w:r>
      <w:r w:rsidR="00726BA5">
        <w:rPr>
          <w:rFonts w:hint="eastAsia"/>
          <w:lang w:val="en-US"/>
        </w:rPr>
        <w:t xml:space="preserve"> is assigned dynamically while </w:t>
      </w:r>
      <w:r w:rsidR="0051040B">
        <w:rPr>
          <w:lang w:val="en-US"/>
        </w:rPr>
        <w:t>attempting to minimize</w:t>
      </w:r>
      <w:r w:rsidR="00726BA5">
        <w:rPr>
          <w:rFonts w:hint="eastAsia"/>
          <w:lang w:val="en-US"/>
        </w:rPr>
        <w:t xml:space="preserve"> interference to/</w:t>
      </w:r>
      <w:r w:rsidR="0051040B">
        <w:rPr>
          <w:lang w:val="en-US"/>
        </w:rPr>
        <w:t>from</w:t>
      </w:r>
      <w:r w:rsidR="00726BA5">
        <w:rPr>
          <w:rFonts w:hint="eastAsia"/>
          <w:lang w:val="en-US"/>
        </w:rPr>
        <w:t xml:space="preserve"> PAL users. </w:t>
      </w:r>
      <w:r w:rsidR="0051040B">
        <w:rPr>
          <w:lang w:val="en-US"/>
        </w:rPr>
        <w:t>For centralized approaches, t</w:t>
      </w:r>
      <w:r w:rsidR="00726BA5">
        <w:rPr>
          <w:rFonts w:hint="eastAsia"/>
          <w:lang w:val="en-US"/>
        </w:rPr>
        <w:t xml:space="preserve">he overall spectrum utilization depends on the latency </w:t>
      </w:r>
      <w:r w:rsidR="0051040B">
        <w:rPr>
          <w:lang w:val="en-US"/>
        </w:rPr>
        <w:t>of feedback</w:t>
      </w:r>
      <w:r>
        <w:rPr>
          <w:lang w:val="en-US"/>
        </w:rPr>
        <w:t>,</w:t>
      </w:r>
      <w:r w:rsidR="0051040B">
        <w:rPr>
          <w:lang w:val="en-US"/>
        </w:rPr>
        <w:t xml:space="preserve"> and the allocations may not</w:t>
      </w:r>
      <w:r w:rsidR="00726BA5">
        <w:rPr>
          <w:rFonts w:hint="eastAsia"/>
          <w:lang w:val="en-US"/>
        </w:rPr>
        <w:t xml:space="preserve"> </w:t>
      </w:r>
      <w:r w:rsidR="0051040B">
        <w:rPr>
          <w:lang w:val="en-US"/>
        </w:rPr>
        <w:t xml:space="preserve">have the same time-scale as the </w:t>
      </w:r>
      <w:r w:rsidR="00726BA5">
        <w:rPr>
          <w:rFonts w:hint="eastAsia"/>
          <w:lang w:val="en-US"/>
        </w:rPr>
        <w:t xml:space="preserve">channel dynamics. </w:t>
      </w:r>
      <w:r w:rsidR="0051040B">
        <w:rPr>
          <w:lang w:val="en-US"/>
        </w:rPr>
        <w:t>As a result</w:t>
      </w:r>
      <w:r w:rsidR="00726BA5">
        <w:rPr>
          <w:rFonts w:hint="eastAsia"/>
          <w:lang w:val="en-US"/>
        </w:rPr>
        <w:t xml:space="preserve">, it is beneficial for multiple RATs to share efficiently and dynamically common spectrum assigned by </w:t>
      </w:r>
      <w:r w:rsidR="00726BA5">
        <w:rPr>
          <w:lang w:val="en-US"/>
        </w:rPr>
        <w:t>a shared spectrum coordination entity</w:t>
      </w:r>
      <w:r w:rsidR="00726BA5">
        <w:rPr>
          <w:rFonts w:hint="eastAsia"/>
          <w:lang w:val="en-US"/>
        </w:rPr>
        <w:t xml:space="preserve">. </w:t>
      </w:r>
    </w:p>
    <w:p w14:paraId="6300C7A2" w14:textId="299E2CB0" w:rsidR="00520968" w:rsidRDefault="00520968" w:rsidP="00133FBC">
      <w:pPr>
        <w:pStyle w:val="maintext"/>
        <w:ind w:firstLineChars="0" w:firstLine="450"/>
        <w:rPr>
          <w:lang w:val="en-US"/>
        </w:rPr>
      </w:pPr>
    </w:p>
    <w:p w14:paraId="2FF77AAD" w14:textId="77777777" w:rsidR="002833E0" w:rsidRDefault="002833E0" w:rsidP="00E254F3">
      <w:pPr>
        <w:pStyle w:val="maintext"/>
        <w:ind w:firstLineChars="0" w:firstLine="0"/>
      </w:pPr>
    </w:p>
    <w:p w14:paraId="442A1D1C" w14:textId="6729AF50" w:rsidR="00635AAF" w:rsidRPr="007A0BF7" w:rsidRDefault="00157D02" w:rsidP="00635AAF">
      <w:pPr>
        <w:pStyle w:val="maintext"/>
        <w:ind w:firstLineChars="0" w:firstLine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0B4A282D" wp14:editId="2B9192ED">
            <wp:extent cx="2477657" cy="1689197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61" cy="1696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B81FB" w14:textId="45378AB8" w:rsidR="00635AAF" w:rsidRDefault="00635AAF" w:rsidP="00635AA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494C31">
        <w:t>Shared spectrum coordination entity</w:t>
      </w:r>
    </w:p>
    <w:p w14:paraId="34A6469D" w14:textId="77777777" w:rsidR="00635AAF" w:rsidRDefault="00635AAF" w:rsidP="00635AAF">
      <w:pPr>
        <w:pStyle w:val="maintext"/>
        <w:ind w:firstLineChars="0" w:firstLine="0"/>
        <w:jc w:val="center"/>
      </w:pPr>
    </w:p>
    <w:p w14:paraId="69EFB300" w14:textId="52861410" w:rsidR="00A811A8" w:rsidRDefault="00366A1A" w:rsidP="00E254F3">
      <w:pPr>
        <w:pStyle w:val="maintext"/>
        <w:ind w:firstLineChars="0" w:firstLine="0"/>
        <w:rPr>
          <w:b/>
        </w:rPr>
      </w:pPr>
      <w:r>
        <w:rPr>
          <w:b/>
        </w:rPr>
        <w:t>Observation 2:</w:t>
      </w:r>
      <w:r w:rsidR="00AC52A7">
        <w:rPr>
          <w:b/>
        </w:rPr>
        <w:t xml:space="preserve"> When co-existence with Wi-Fi (or other LBT-based systems) is not requ</w:t>
      </w:r>
      <w:r w:rsidR="000B671C">
        <w:rPr>
          <w:b/>
        </w:rPr>
        <w:t>ir</w:t>
      </w:r>
      <w:r w:rsidR="00AC52A7">
        <w:rPr>
          <w:b/>
        </w:rPr>
        <w:t>ed</w:t>
      </w:r>
      <w:r w:rsidR="00C167B7">
        <w:rPr>
          <w:rFonts w:hint="eastAsia"/>
          <w:b/>
        </w:rPr>
        <w:t xml:space="preserve"> </w:t>
      </w:r>
      <w:r w:rsidR="00DC69A0">
        <w:rPr>
          <w:b/>
        </w:rPr>
        <w:t xml:space="preserve">(e.g. </w:t>
      </w:r>
      <w:r w:rsidR="00C167B7">
        <w:rPr>
          <w:rFonts w:hint="eastAsia"/>
          <w:b/>
        </w:rPr>
        <w:t>by regul</w:t>
      </w:r>
      <w:r w:rsidR="00AE14ED">
        <w:rPr>
          <w:rFonts w:hint="eastAsia"/>
          <w:b/>
        </w:rPr>
        <w:t>ation</w:t>
      </w:r>
      <w:r w:rsidR="00DC69A0">
        <w:rPr>
          <w:b/>
        </w:rPr>
        <w:t>)</w:t>
      </w:r>
      <w:r>
        <w:rPr>
          <w:b/>
        </w:rPr>
        <w:t xml:space="preserve">, </w:t>
      </w:r>
      <w:r w:rsidR="005B29BA">
        <w:rPr>
          <w:b/>
        </w:rPr>
        <w:t>co-existence</w:t>
      </w:r>
      <w:r w:rsidR="00B34F4A">
        <w:rPr>
          <w:b/>
        </w:rPr>
        <w:t xml:space="preserve"> schemes beyond LBT</w:t>
      </w:r>
      <w:r w:rsidR="0038054F">
        <w:rPr>
          <w:b/>
        </w:rPr>
        <w:t xml:space="preserve"> </w:t>
      </w:r>
      <w:r w:rsidR="00B34F4A">
        <w:rPr>
          <w:b/>
        </w:rPr>
        <w:t>are possible</w:t>
      </w:r>
      <w:r>
        <w:rPr>
          <w:b/>
        </w:rPr>
        <w:t>.</w:t>
      </w:r>
    </w:p>
    <w:p w14:paraId="2BB2E928" w14:textId="77777777" w:rsidR="00204AFB" w:rsidRDefault="00204AFB" w:rsidP="00E254F3">
      <w:pPr>
        <w:pStyle w:val="maintext"/>
        <w:ind w:firstLineChars="0" w:firstLine="0"/>
        <w:rPr>
          <w:b/>
        </w:rPr>
      </w:pPr>
    </w:p>
    <w:p w14:paraId="09A77B6D" w14:textId="77777777" w:rsidR="00204AFB" w:rsidRPr="00204AFB" w:rsidRDefault="00204AFB" w:rsidP="00204AFB">
      <w:pPr>
        <w:pStyle w:val="maintext"/>
        <w:ind w:firstLineChars="0" w:firstLine="450"/>
      </w:pPr>
      <w:r w:rsidRPr="00204AFB">
        <w:t>Based on the above discussion, our proposal is as follows:</w:t>
      </w:r>
    </w:p>
    <w:p w14:paraId="7936BA8B" w14:textId="6C12FEA3" w:rsidR="008F5627" w:rsidRDefault="008F5627" w:rsidP="00E254F3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 w:rsidR="000F504B">
        <w:rPr>
          <w:b/>
        </w:rPr>
        <w:t>Channel</w:t>
      </w:r>
      <w:r w:rsidR="008C293C">
        <w:rPr>
          <w:b/>
        </w:rPr>
        <w:t xml:space="preserve"> access mechanisms including e</w:t>
      </w:r>
      <w:r w:rsidR="00DA289C">
        <w:rPr>
          <w:b/>
        </w:rPr>
        <w:t>nhanced LBT</w:t>
      </w:r>
      <w:r w:rsidRPr="00A811A8">
        <w:rPr>
          <w:b/>
        </w:rPr>
        <w:t xml:space="preserve"> p</w:t>
      </w:r>
      <w:r w:rsidR="00A811A8" w:rsidRPr="00A811A8">
        <w:rPr>
          <w:b/>
        </w:rPr>
        <w:t>rotocol</w:t>
      </w:r>
      <w:r w:rsidR="00DA289C">
        <w:rPr>
          <w:b/>
        </w:rPr>
        <w:t>s</w:t>
      </w:r>
      <w:r w:rsidR="008C293C">
        <w:rPr>
          <w:b/>
        </w:rPr>
        <w:t xml:space="preserve"> and </w:t>
      </w:r>
      <w:r w:rsidR="00DA289C">
        <w:rPr>
          <w:b/>
        </w:rPr>
        <w:t>non-LBT based protocols</w:t>
      </w:r>
      <w:r w:rsidR="00A811A8" w:rsidRPr="00A811A8">
        <w:rPr>
          <w:b/>
        </w:rPr>
        <w:t xml:space="preserve"> should be studied for </w:t>
      </w:r>
      <w:r w:rsidR="000F504B">
        <w:rPr>
          <w:b/>
        </w:rPr>
        <w:t xml:space="preserve">the </w:t>
      </w:r>
      <w:r w:rsidR="0027088A">
        <w:rPr>
          <w:b/>
        </w:rPr>
        <w:t xml:space="preserve">NR </w:t>
      </w:r>
      <w:r w:rsidR="000F504B">
        <w:rPr>
          <w:b/>
        </w:rPr>
        <w:t>operation on shared or unlicensed spectrum</w:t>
      </w:r>
      <w:r w:rsidR="008C293C">
        <w:rPr>
          <w:b/>
        </w:rPr>
        <w:t>.</w:t>
      </w:r>
      <w:r w:rsidRPr="00A811A8">
        <w:rPr>
          <w:b/>
        </w:rPr>
        <w:t xml:space="preserve"> </w:t>
      </w:r>
    </w:p>
    <w:p w14:paraId="439F5E4E" w14:textId="77777777" w:rsidR="00D060C3" w:rsidRPr="00A811A8" w:rsidRDefault="00D060C3" w:rsidP="00E254F3">
      <w:pPr>
        <w:pStyle w:val="maintext"/>
        <w:ind w:firstLineChars="0" w:firstLine="0"/>
        <w:rPr>
          <w:b/>
        </w:rPr>
      </w:pPr>
    </w:p>
    <w:p w14:paraId="53F1C142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7C8FE288" w14:textId="654AC489" w:rsidR="00B12C3B" w:rsidRDefault="00E77EBE" w:rsidP="002958FD">
      <w:pPr>
        <w:pStyle w:val="2222"/>
        <w:spacing w:after="120" w:line="288" w:lineRule="auto"/>
        <w:ind w:firstLine="400"/>
        <w:rPr>
          <w:lang w:eastAsia="ko-KR"/>
        </w:rPr>
      </w:pPr>
      <w:r>
        <w:t xml:space="preserve">In this contribution, we presented our views on the shared spectrum support for </w:t>
      </w:r>
      <w:r w:rsidR="0027088A">
        <w:t>NR</w:t>
      </w:r>
      <w:r>
        <w:t>.</w:t>
      </w:r>
    </w:p>
    <w:p w14:paraId="36F26847" w14:textId="77777777" w:rsidR="00536C1A" w:rsidRDefault="00536C1A" w:rsidP="00536C1A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provide effective co-existence among systems with highly directional DL/UL links.</w:t>
      </w:r>
    </w:p>
    <w:p w14:paraId="0C9742CA" w14:textId="77777777" w:rsidR="00536C1A" w:rsidRDefault="00536C1A" w:rsidP="00536C1A">
      <w:pPr>
        <w:pStyle w:val="maintext"/>
        <w:ind w:firstLineChars="0" w:firstLine="0"/>
        <w:rPr>
          <w:b/>
        </w:rPr>
      </w:pPr>
    </w:p>
    <w:p w14:paraId="21E9EE71" w14:textId="5967F665" w:rsidR="0038054F" w:rsidRDefault="0038054F" w:rsidP="0038054F">
      <w:pPr>
        <w:pStyle w:val="maintext"/>
        <w:ind w:firstLineChars="0" w:firstLine="0"/>
        <w:rPr>
          <w:b/>
        </w:rPr>
      </w:pPr>
      <w:r>
        <w:rPr>
          <w:b/>
        </w:rPr>
        <w:t>Observation 2: When co-existence with Wi-Fi (or other LBT-based systems) is not required</w:t>
      </w:r>
      <w:r w:rsidR="00E919E0">
        <w:rPr>
          <w:rFonts w:hint="eastAsia"/>
          <w:b/>
        </w:rPr>
        <w:t xml:space="preserve"> </w:t>
      </w:r>
      <w:r w:rsidR="00E919E0">
        <w:rPr>
          <w:b/>
        </w:rPr>
        <w:t xml:space="preserve">(e.g. </w:t>
      </w:r>
      <w:r w:rsidR="00E919E0">
        <w:rPr>
          <w:rFonts w:hint="eastAsia"/>
          <w:b/>
        </w:rPr>
        <w:t>by regulation</w:t>
      </w:r>
      <w:r w:rsidR="00E919E0">
        <w:rPr>
          <w:b/>
        </w:rPr>
        <w:t>)</w:t>
      </w:r>
      <w:r>
        <w:rPr>
          <w:b/>
        </w:rPr>
        <w:t>, co-existence schemes beyond LBT are possible.</w:t>
      </w:r>
    </w:p>
    <w:p w14:paraId="266D1B3A" w14:textId="77777777" w:rsidR="0010561E" w:rsidRDefault="0010561E" w:rsidP="00912210">
      <w:pPr>
        <w:pStyle w:val="maintext"/>
        <w:ind w:firstLineChars="0" w:firstLine="0"/>
        <w:rPr>
          <w:b/>
        </w:rPr>
      </w:pPr>
    </w:p>
    <w:p w14:paraId="43699AE2" w14:textId="621227D5" w:rsidR="000F504B" w:rsidRDefault="000F504B" w:rsidP="000F504B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>
        <w:rPr>
          <w:b/>
        </w:rPr>
        <w:t>Channel access mechanisms including enhanced LBT</w:t>
      </w:r>
      <w:r w:rsidRPr="00A811A8">
        <w:rPr>
          <w:b/>
        </w:rPr>
        <w:t xml:space="preserve"> protocol</w:t>
      </w:r>
      <w:r>
        <w:rPr>
          <w:b/>
        </w:rPr>
        <w:t>s and non-LBT based protocols</w:t>
      </w:r>
      <w:r w:rsidRPr="00A811A8">
        <w:rPr>
          <w:b/>
        </w:rPr>
        <w:t xml:space="preserve"> should be studied for </w:t>
      </w:r>
      <w:r>
        <w:rPr>
          <w:b/>
        </w:rPr>
        <w:t xml:space="preserve">the </w:t>
      </w:r>
      <w:r w:rsidR="0027088A">
        <w:rPr>
          <w:b/>
        </w:rPr>
        <w:t>NR</w:t>
      </w:r>
      <w:r>
        <w:rPr>
          <w:b/>
        </w:rPr>
        <w:t xml:space="preserve"> operation on shared or unlicensed spectrum.</w:t>
      </w:r>
      <w:r w:rsidRPr="00A811A8">
        <w:rPr>
          <w:b/>
        </w:rPr>
        <w:t xml:space="preserve"> </w:t>
      </w:r>
    </w:p>
    <w:p w14:paraId="7E385DEE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53787589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F41EF32" w14:textId="77777777" w:rsidR="00296E64" w:rsidRPr="000147F7" w:rsidRDefault="00F50EF1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46582201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3F00C5" w:rsidRPr="003F00C5">
        <w:rPr>
          <w:rFonts w:eastAsia="Batang" w:cs="Times New Roman"/>
          <w:lang w:eastAsia="ko-KR"/>
        </w:rPr>
        <w:t>SID Proposal</w:t>
      </w:r>
      <w:r w:rsidR="003F00C5" w:rsidRPr="003F00C5">
        <w:rPr>
          <w:rFonts w:eastAsia="Batang" w:cs="Times New Roman"/>
          <w:lang w:eastAsia="zh-CN"/>
        </w:rPr>
        <w:t>: Study on New Radio Access Technology</w:t>
      </w:r>
      <w:r w:rsidR="00C6489F">
        <w:rPr>
          <w:rFonts w:eastAsia="Batang" w:cs="Times New Roman"/>
          <w:lang w:eastAsia="zh-CN"/>
        </w:rPr>
        <w:t>, NTT DOCOMO</w:t>
      </w:r>
      <w:r w:rsidR="00AD6148">
        <w:rPr>
          <w:rFonts w:eastAsia="Batang" w:cs="Times New Roman"/>
          <w:lang w:eastAsia="zh-CN"/>
        </w:rPr>
        <w:t>.</w:t>
      </w:r>
      <w:bookmarkEnd w:id="5"/>
    </w:p>
    <w:p w14:paraId="2F82369E" w14:textId="77777777" w:rsidR="00AC414E" w:rsidRDefault="000147F7" w:rsidP="002730E1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TR 38.913 V0.3.0 (2016-03)</w:t>
      </w:r>
      <w:bookmarkEnd w:id="6"/>
    </w:p>
    <w:p w14:paraId="317622FE" w14:textId="647A5DB1" w:rsidR="00205BAC" w:rsidRDefault="00205BAC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Wireless Innovation Forum: </w:t>
      </w:r>
      <w:hyperlink r:id="rId11" w:history="1">
        <w:r w:rsidR="006B1327" w:rsidRPr="00812E3B">
          <w:rPr>
            <w:rStyle w:val="Hyperlink"/>
            <w:rFonts w:cs="Times New Roman"/>
            <w:lang w:eastAsia="ko-KR"/>
          </w:rPr>
          <w:t>http://groups.winnforum.org/</w:t>
        </w:r>
      </w:hyperlink>
    </w:p>
    <w:p w14:paraId="793AF817" w14:textId="00159B6A" w:rsidR="006B1327" w:rsidRPr="002730E1" w:rsidRDefault="006B1327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6B1327">
        <w:rPr>
          <w:rFonts w:cs="Times New Roman"/>
          <w:lang w:eastAsia="ko-KR"/>
        </w:rPr>
        <w:t>FCC-15-47A1</w:t>
      </w:r>
      <w:r>
        <w:rPr>
          <w:rFonts w:cs="Times New Roman" w:hint="eastAsia"/>
          <w:lang w:eastAsia="ko-KR"/>
        </w:rPr>
        <w:t xml:space="preserve">, </w:t>
      </w:r>
      <w:r w:rsidRPr="006B1327">
        <w:rPr>
          <w:rFonts w:cs="Times New Roman"/>
          <w:lang w:eastAsia="ko-KR"/>
        </w:rPr>
        <w:t>REPORT AND ORDER AND SECOND FURTHER NOTICE OF PROPOSED RULEMAKING</w:t>
      </w:r>
      <w:r>
        <w:rPr>
          <w:rFonts w:cs="Times New Roman" w:hint="eastAsia"/>
          <w:lang w:eastAsia="ko-KR"/>
        </w:rPr>
        <w:t xml:space="preserve"> FOR 3.5 GHz</w:t>
      </w:r>
    </w:p>
    <w:sectPr w:rsidR="006B1327" w:rsidRPr="002730E1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C5F3B" w14:textId="77777777" w:rsidR="00C72C92" w:rsidRDefault="00C72C92">
      <w:r>
        <w:separator/>
      </w:r>
    </w:p>
  </w:endnote>
  <w:endnote w:type="continuationSeparator" w:id="0">
    <w:p w14:paraId="00854EFC" w14:textId="77777777" w:rsidR="00C72C92" w:rsidRDefault="00C7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164F3" w14:textId="77777777" w:rsidR="00C72C92" w:rsidRDefault="00C72C92">
      <w:r>
        <w:separator/>
      </w:r>
    </w:p>
  </w:footnote>
  <w:footnote w:type="continuationSeparator" w:id="0">
    <w:p w14:paraId="59661EC2" w14:textId="77777777" w:rsidR="00C72C92" w:rsidRDefault="00C72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F00A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6A37"/>
    <w:multiLevelType w:val="hybridMultilevel"/>
    <w:tmpl w:val="20EE9430"/>
    <w:lvl w:ilvl="0" w:tplc="92F094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75965F1"/>
    <w:multiLevelType w:val="hybridMultilevel"/>
    <w:tmpl w:val="5C78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AE1849"/>
    <w:multiLevelType w:val="hybridMultilevel"/>
    <w:tmpl w:val="A000B9EE"/>
    <w:lvl w:ilvl="0" w:tplc="9B964A0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BA115F9"/>
    <w:multiLevelType w:val="hybridMultilevel"/>
    <w:tmpl w:val="303E0270"/>
    <w:lvl w:ilvl="0" w:tplc="B0F8ACB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C5DC7"/>
    <w:multiLevelType w:val="hybridMultilevel"/>
    <w:tmpl w:val="D3DAD242"/>
    <w:lvl w:ilvl="0" w:tplc="EE9C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F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26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0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8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EF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C0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E4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2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D529D9"/>
    <w:multiLevelType w:val="hybridMultilevel"/>
    <w:tmpl w:val="5B5ADD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29"/>
  </w:num>
  <w:num w:numId="4">
    <w:abstractNumId w:val="28"/>
  </w:num>
  <w:num w:numId="5">
    <w:abstractNumId w:val="12"/>
  </w:num>
  <w:num w:numId="6">
    <w:abstractNumId w:val="36"/>
  </w:num>
  <w:num w:numId="7">
    <w:abstractNumId w:val="18"/>
  </w:num>
  <w:num w:numId="8">
    <w:abstractNumId w:val="14"/>
  </w:num>
  <w:num w:numId="9">
    <w:abstractNumId w:val="3"/>
  </w:num>
  <w:num w:numId="10">
    <w:abstractNumId w:val="21"/>
  </w:num>
  <w:num w:numId="11">
    <w:abstractNumId w:val="6"/>
  </w:num>
  <w:num w:numId="12">
    <w:abstractNumId w:val="33"/>
  </w:num>
  <w:num w:numId="13">
    <w:abstractNumId w:val="0"/>
  </w:num>
  <w:num w:numId="14">
    <w:abstractNumId w:val="16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5"/>
  </w:num>
  <w:num w:numId="20">
    <w:abstractNumId w:val="1"/>
  </w:num>
  <w:num w:numId="21">
    <w:abstractNumId w:val="11"/>
  </w:num>
  <w:num w:numId="22">
    <w:abstractNumId w:val="22"/>
  </w:num>
  <w:num w:numId="23">
    <w:abstractNumId w:val="5"/>
  </w:num>
  <w:num w:numId="24">
    <w:abstractNumId w:val="26"/>
  </w:num>
  <w:num w:numId="25">
    <w:abstractNumId w:val="27"/>
  </w:num>
  <w:num w:numId="26">
    <w:abstractNumId w:val="4"/>
  </w:num>
  <w:num w:numId="27">
    <w:abstractNumId w:val="24"/>
  </w:num>
  <w:num w:numId="28">
    <w:abstractNumId w:val="34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9"/>
  </w:num>
  <w:num w:numId="34">
    <w:abstractNumId w:val="10"/>
  </w:num>
  <w:num w:numId="35">
    <w:abstractNumId w:val="15"/>
  </w:num>
  <w:num w:numId="36">
    <w:abstractNumId w:val="15"/>
  </w:num>
  <w:num w:numId="37">
    <w:abstractNumId w:val="15"/>
  </w:num>
  <w:num w:numId="38">
    <w:abstractNumId w:val="10"/>
  </w:num>
  <w:num w:numId="39">
    <w:abstractNumId w:val="15"/>
  </w:num>
  <w:num w:numId="40">
    <w:abstractNumId w:val="15"/>
  </w:num>
  <w:num w:numId="41">
    <w:abstractNumId w:val="10"/>
  </w:num>
  <w:num w:numId="42">
    <w:abstractNumId w:val="10"/>
  </w:num>
  <w:num w:numId="43">
    <w:abstractNumId w:val="13"/>
  </w:num>
  <w:num w:numId="44">
    <w:abstractNumId w:val="23"/>
  </w:num>
  <w:num w:numId="45">
    <w:abstractNumId w:val="25"/>
  </w:num>
  <w:num w:numId="46">
    <w:abstractNumId w:val="2"/>
  </w:num>
  <w:num w:numId="47">
    <w:abstractNumId w:val="32"/>
  </w:num>
  <w:num w:numId="48">
    <w:abstractNumId w:val="31"/>
  </w:num>
  <w:num w:numId="49">
    <w:abstractNumId w:val="9"/>
  </w:num>
  <w:num w:numId="5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CC6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67DF"/>
    <w:rsid w:val="0001695D"/>
    <w:rsid w:val="000172F4"/>
    <w:rsid w:val="000210FF"/>
    <w:rsid w:val="00021CA4"/>
    <w:rsid w:val="00022194"/>
    <w:rsid w:val="00022677"/>
    <w:rsid w:val="00022C4C"/>
    <w:rsid w:val="00023D98"/>
    <w:rsid w:val="00024107"/>
    <w:rsid w:val="00024F42"/>
    <w:rsid w:val="00027510"/>
    <w:rsid w:val="00030EA8"/>
    <w:rsid w:val="00032854"/>
    <w:rsid w:val="00034318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6812"/>
    <w:rsid w:val="00070429"/>
    <w:rsid w:val="0007119C"/>
    <w:rsid w:val="0007221D"/>
    <w:rsid w:val="00072453"/>
    <w:rsid w:val="00073C42"/>
    <w:rsid w:val="000755B5"/>
    <w:rsid w:val="00076FF5"/>
    <w:rsid w:val="000775AB"/>
    <w:rsid w:val="00083457"/>
    <w:rsid w:val="0008346B"/>
    <w:rsid w:val="00083DE3"/>
    <w:rsid w:val="000862ED"/>
    <w:rsid w:val="00086364"/>
    <w:rsid w:val="00086A31"/>
    <w:rsid w:val="0008772F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65D0"/>
    <w:rsid w:val="0009739B"/>
    <w:rsid w:val="000A0BEC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671C"/>
    <w:rsid w:val="000C074E"/>
    <w:rsid w:val="000C14C1"/>
    <w:rsid w:val="000C1C23"/>
    <w:rsid w:val="000C2DAC"/>
    <w:rsid w:val="000C3A4B"/>
    <w:rsid w:val="000C3C17"/>
    <w:rsid w:val="000C650F"/>
    <w:rsid w:val="000D00DD"/>
    <w:rsid w:val="000D1026"/>
    <w:rsid w:val="000D19F4"/>
    <w:rsid w:val="000D25AC"/>
    <w:rsid w:val="000D2C15"/>
    <w:rsid w:val="000D4806"/>
    <w:rsid w:val="000D5200"/>
    <w:rsid w:val="000D758A"/>
    <w:rsid w:val="000D77B5"/>
    <w:rsid w:val="000E13E9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04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61E"/>
    <w:rsid w:val="001067FF"/>
    <w:rsid w:val="00106F9A"/>
    <w:rsid w:val="00107C3A"/>
    <w:rsid w:val="00111454"/>
    <w:rsid w:val="00112A78"/>
    <w:rsid w:val="00114EB4"/>
    <w:rsid w:val="001155B8"/>
    <w:rsid w:val="00115A3E"/>
    <w:rsid w:val="00117B15"/>
    <w:rsid w:val="00120B93"/>
    <w:rsid w:val="00121508"/>
    <w:rsid w:val="0012156A"/>
    <w:rsid w:val="00121AC2"/>
    <w:rsid w:val="0012303A"/>
    <w:rsid w:val="00123B51"/>
    <w:rsid w:val="00125E0D"/>
    <w:rsid w:val="00127AD3"/>
    <w:rsid w:val="0013023F"/>
    <w:rsid w:val="0013041F"/>
    <w:rsid w:val="00130A5C"/>
    <w:rsid w:val="00131748"/>
    <w:rsid w:val="00132CCB"/>
    <w:rsid w:val="00133026"/>
    <w:rsid w:val="00133FBC"/>
    <w:rsid w:val="00135071"/>
    <w:rsid w:val="00135EB0"/>
    <w:rsid w:val="00136E4B"/>
    <w:rsid w:val="00137048"/>
    <w:rsid w:val="00137383"/>
    <w:rsid w:val="001379DE"/>
    <w:rsid w:val="00140E28"/>
    <w:rsid w:val="0014333B"/>
    <w:rsid w:val="0014343A"/>
    <w:rsid w:val="00143869"/>
    <w:rsid w:val="00146DE6"/>
    <w:rsid w:val="001471E4"/>
    <w:rsid w:val="00147305"/>
    <w:rsid w:val="001503B7"/>
    <w:rsid w:val="0015445A"/>
    <w:rsid w:val="00157248"/>
    <w:rsid w:val="00157D02"/>
    <w:rsid w:val="001600DE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087A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151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52BF"/>
    <w:rsid w:val="001E5959"/>
    <w:rsid w:val="001E6796"/>
    <w:rsid w:val="001F1669"/>
    <w:rsid w:val="001F2638"/>
    <w:rsid w:val="001F3671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4AFB"/>
    <w:rsid w:val="00205BA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781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88A"/>
    <w:rsid w:val="002714B9"/>
    <w:rsid w:val="00271FF9"/>
    <w:rsid w:val="002730E1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3E0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4DC5"/>
    <w:rsid w:val="002A74D6"/>
    <w:rsid w:val="002B39F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0E04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7755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A00"/>
    <w:rsid w:val="0034437D"/>
    <w:rsid w:val="003452F2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A1A"/>
    <w:rsid w:val="00367444"/>
    <w:rsid w:val="00367548"/>
    <w:rsid w:val="00367C76"/>
    <w:rsid w:val="00367F5B"/>
    <w:rsid w:val="0037122E"/>
    <w:rsid w:val="0037239C"/>
    <w:rsid w:val="003725A0"/>
    <w:rsid w:val="003738D9"/>
    <w:rsid w:val="003739C4"/>
    <w:rsid w:val="00373FE3"/>
    <w:rsid w:val="0037611E"/>
    <w:rsid w:val="00377D5D"/>
    <w:rsid w:val="00380384"/>
    <w:rsid w:val="0038054F"/>
    <w:rsid w:val="00380C88"/>
    <w:rsid w:val="0038169D"/>
    <w:rsid w:val="00381784"/>
    <w:rsid w:val="003818F6"/>
    <w:rsid w:val="0038352B"/>
    <w:rsid w:val="003850A9"/>
    <w:rsid w:val="00385714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0A86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51BE"/>
    <w:rsid w:val="004471CE"/>
    <w:rsid w:val="00450C48"/>
    <w:rsid w:val="00452E54"/>
    <w:rsid w:val="004530DE"/>
    <w:rsid w:val="0045322C"/>
    <w:rsid w:val="00454D22"/>
    <w:rsid w:val="00454D2B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C6F"/>
    <w:rsid w:val="00484F59"/>
    <w:rsid w:val="00485007"/>
    <w:rsid w:val="00485376"/>
    <w:rsid w:val="0048570F"/>
    <w:rsid w:val="00485F12"/>
    <w:rsid w:val="00485FF9"/>
    <w:rsid w:val="00486540"/>
    <w:rsid w:val="00487090"/>
    <w:rsid w:val="00491221"/>
    <w:rsid w:val="0049325B"/>
    <w:rsid w:val="00493A37"/>
    <w:rsid w:val="00494C31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62EF"/>
    <w:rsid w:val="004A73B7"/>
    <w:rsid w:val="004B02A2"/>
    <w:rsid w:val="004B0763"/>
    <w:rsid w:val="004B2890"/>
    <w:rsid w:val="004B379E"/>
    <w:rsid w:val="004B37FF"/>
    <w:rsid w:val="004B38E1"/>
    <w:rsid w:val="004B3FBF"/>
    <w:rsid w:val="004B461B"/>
    <w:rsid w:val="004B4C96"/>
    <w:rsid w:val="004B5B40"/>
    <w:rsid w:val="004C0AD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7706"/>
    <w:rsid w:val="004F040F"/>
    <w:rsid w:val="004F04D1"/>
    <w:rsid w:val="004F120F"/>
    <w:rsid w:val="004F17BB"/>
    <w:rsid w:val="00501E42"/>
    <w:rsid w:val="00503979"/>
    <w:rsid w:val="00503993"/>
    <w:rsid w:val="00503F9D"/>
    <w:rsid w:val="005040AD"/>
    <w:rsid w:val="00507091"/>
    <w:rsid w:val="005074C4"/>
    <w:rsid w:val="005079CC"/>
    <w:rsid w:val="0051040B"/>
    <w:rsid w:val="005109A0"/>
    <w:rsid w:val="0051414A"/>
    <w:rsid w:val="00514BFF"/>
    <w:rsid w:val="00514ED9"/>
    <w:rsid w:val="00515B5F"/>
    <w:rsid w:val="00515DAE"/>
    <w:rsid w:val="0051746B"/>
    <w:rsid w:val="00520036"/>
    <w:rsid w:val="005202D2"/>
    <w:rsid w:val="00520968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C1A"/>
    <w:rsid w:val="00537F42"/>
    <w:rsid w:val="00540BAC"/>
    <w:rsid w:val="00541207"/>
    <w:rsid w:val="005434F9"/>
    <w:rsid w:val="0054367D"/>
    <w:rsid w:val="00543D3F"/>
    <w:rsid w:val="00544D62"/>
    <w:rsid w:val="0055167A"/>
    <w:rsid w:val="00553AF5"/>
    <w:rsid w:val="00555F2F"/>
    <w:rsid w:val="00562D1F"/>
    <w:rsid w:val="00566449"/>
    <w:rsid w:val="00567B39"/>
    <w:rsid w:val="00572EEE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45"/>
    <w:rsid w:val="005A73AC"/>
    <w:rsid w:val="005B29BA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2A38"/>
    <w:rsid w:val="005E52D7"/>
    <w:rsid w:val="005E58B6"/>
    <w:rsid w:val="005E602E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37D6"/>
    <w:rsid w:val="00605580"/>
    <w:rsid w:val="00605798"/>
    <w:rsid w:val="00606F51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C64"/>
    <w:rsid w:val="00620B19"/>
    <w:rsid w:val="00621018"/>
    <w:rsid w:val="0062196D"/>
    <w:rsid w:val="00623B7E"/>
    <w:rsid w:val="006255CB"/>
    <w:rsid w:val="00627509"/>
    <w:rsid w:val="00630E9A"/>
    <w:rsid w:val="00631C9C"/>
    <w:rsid w:val="0063477E"/>
    <w:rsid w:val="00635AAF"/>
    <w:rsid w:val="006400D0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1DDB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162"/>
    <w:rsid w:val="00683595"/>
    <w:rsid w:val="00684B10"/>
    <w:rsid w:val="00690293"/>
    <w:rsid w:val="00690437"/>
    <w:rsid w:val="006918CE"/>
    <w:rsid w:val="00691DCB"/>
    <w:rsid w:val="00691E94"/>
    <w:rsid w:val="0069233F"/>
    <w:rsid w:val="00694BC6"/>
    <w:rsid w:val="00696206"/>
    <w:rsid w:val="00696E55"/>
    <w:rsid w:val="00697A04"/>
    <w:rsid w:val="006A0925"/>
    <w:rsid w:val="006A25EB"/>
    <w:rsid w:val="006A261D"/>
    <w:rsid w:val="006A2D38"/>
    <w:rsid w:val="006A4613"/>
    <w:rsid w:val="006A6FAD"/>
    <w:rsid w:val="006A74AF"/>
    <w:rsid w:val="006B00ED"/>
    <w:rsid w:val="006B1327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9C1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F6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6BA5"/>
    <w:rsid w:val="00732EEB"/>
    <w:rsid w:val="00735463"/>
    <w:rsid w:val="00737F4D"/>
    <w:rsid w:val="00741392"/>
    <w:rsid w:val="00741B82"/>
    <w:rsid w:val="007437D3"/>
    <w:rsid w:val="00746D48"/>
    <w:rsid w:val="00750E72"/>
    <w:rsid w:val="00753A41"/>
    <w:rsid w:val="007540CD"/>
    <w:rsid w:val="00754A8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4412"/>
    <w:rsid w:val="007973AE"/>
    <w:rsid w:val="00797420"/>
    <w:rsid w:val="00797B10"/>
    <w:rsid w:val="007A0BF7"/>
    <w:rsid w:val="007A3DB5"/>
    <w:rsid w:val="007B299C"/>
    <w:rsid w:val="007B2A97"/>
    <w:rsid w:val="007B3ED7"/>
    <w:rsid w:val="007B49B4"/>
    <w:rsid w:val="007B6146"/>
    <w:rsid w:val="007C1FEB"/>
    <w:rsid w:val="007C25EB"/>
    <w:rsid w:val="007C4E3D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12B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D27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53B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BC3"/>
    <w:rsid w:val="008765FC"/>
    <w:rsid w:val="008768CE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96A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1ED"/>
    <w:rsid w:val="008A7736"/>
    <w:rsid w:val="008B2920"/>
    <w:rsid w:val="008B494B"/>
    <w:rsid w:val="008B6030"/>
    <w:rsid w:val="008C1525"/>
    <w:rsid w:val="008C293C"/>
    <w:rsid w:val="008C3FDD"/>
    <w:rsid w:val="008C5D63"/>
    <w:rsid w:val="008C7A40"/>
    <w:rsid w:val="008D324A"/>
    <w:rsid w:val="008D5A50"/>
    <w:rsid w:val="008D5BAB"/>
    <w:rsid w:val="008E0543"/>
    <w:rsid w:val="008E1091"/>
    <w:rsid w:val="008E13C2"/>
    <w:rsid w:val="008E158C"/>
    <w:rsid w:val="008E1CBB"/>
    <w:rsid w:val="008E1EB9"/>
    <w:rsid w:val="008E5AB4"/>
    <w:rsid w:val="008E686B"/>
    <w:rsid w:val="008F2B67"/>
    <w:rsid w:val="008F301F"/>
    <w:rsid w:val="008F3F16"/>
    <w:rsid w:val="008F55A4"/>
    <w:rsid w:val="008F5627"/>
    <w:rsid w:val="008F6B64"/>
    <w:rsid w:val="008F72CC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2210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4B8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394E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148A"/>
    <w:rsid w:val="009E2872"/>
    <w:rsid w:val="009E4A14"/>
    <w:rsid w:val="009F0D5B"/>
    <w:rsid w:val="009F11F1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397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D4D"/>
    <w:rsid w:val="00A811A8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44D8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2A7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4ED"/>
    <w:rsid w:val="00AE18B3"/>
    <w:rsid w:val="00AE2D81"/>
    <w:rsid w:val="00AE37BC"/>
    <w:rsid w:val="00AE4511"/>
    <w:rsid w:val="00AE5F59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D4E"/>
    <w:rsid w:val="00B26342"/>
    <w:rsid w:val="00B2681C"/>
    <w:rsid w:val="00B325F5"/>
    <w:rsid w:val="00B32D75"/>
    <w:rsid w:val="00B3361F"/>
    <w:rsid w:val="00B339CD"/>
    <w:rsid w:val="00B342AC"/>
    <w:rsid w:val="00B34F4A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7B7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3D0A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2C92"/>
    <w:rsid w:val="00C73800"/>
    <w:rsid w:val="00C73A02"/>
    <w:rsid w:val="00C73CD0"/>
    <w:rsid w:val="00C753CF"/>
    <w:rsid w:val="00C75B14"/>
    <w:rsid w:val="00C75CAA"/>
    <w:rsid w:val="00C777BC"/>
    <w:rsid w:val="00C80059"/>
    <w:rsid w:val="00C80084"/>
    <w:rsid w:val="00C80395"/>
    <w:rsid w:val="00C8049E"/>
    <w:rsid w:val="00C824C3"/>
    <w:rsid w:val="00C8319F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B0153"/>
    <w:rsid w:val="00CB0560"/>
    <w:rsid w:val="00CB06EB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BA1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567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3BC"/>
    <w:rsid w:val="00D04BBC"/>
    <w:rsid w:val="00D05563"/>
    <w:rsid w:val="00D060C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385D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7898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89C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9A0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27CE"/>
    <w:rsid w:val="00DF2A98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A93"/>
    <w:rsid w:val="00E11BD7"/>
    <w:rsid w:val="00E11D4C"/>
    <w:rsid w:val="00E12858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057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1EA9"/>
    <w:rsid w:val="00E63323"/>
    <w:rsid w:val="00E64767"/>
    <w:rsid w:val="00E65EE0"/>
    <w:rsid w:val="00E66160"/>
    <w:rsid w:val="00E67F31"/>
    <w:rsid w:val="00E70B6B"/>
    <w:rsid w:val="00E70DE5"/>
    <w:rsid w:val="00E71E31"/>
    <w:rsid w:val="00E725B1"/>
    <w:rsid w:val="00E73012"/>
    <w:rsid w:val="00E76B97"/>
    <w:rsid w:val="00E777F8"/>
    <w:rsid w:val="00E77EBE"/>
    <w:rsid w:val="00E84296"/>
    <w:rsid w:val="00E84B03"/>
    <w:rsid w:val="00E87A93"/>
    <w:rsid w:val="00E87B10"/>
    <w:rsid w:val="00E902AB"/>
    <w:rsid w:val="00E9042A"/>
    <w:rsid w:val="00E90C53"/>
    <w:rsid w:val="00E90F78"/>
    <w:rsid w:val="00E919E0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1E6F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66F9"/>
    <w:rsid w:val="00EE082D"/>
    <w:rsid w:val="00EE08C5"/>
    <w:rsid w:val="00EE2938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17CB2"/>
    <w:rsid w:val="00F2058B"/>
    <w:rsid w:val="00F20DA2"/>
    <w:rsid w:val="00F20DB4"/>
    <w:rsid w:val="00F212BA"/>
    <w:rsid w:val="00F218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240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1947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99B"/>
    <w:rsid w:val="00F94C74"/>
    <w:rsid w:val="00F95ADC"/>
    <w:rsid w:val="00F97AB2"/>
    <w:rsid w:val="00FA1886"/>
    <w:rsid w:val="00FA1977"/>
    <w:rsid w:val="00FA37F1"/>
    <w:rsid w:val="00FA518B"/>
    <w:rsid w:val="00FA7C6D"/>
    <w:rsid w:val="00FB03EA"/>
    <w:rsid w:val="00FB1962"/>
    <w:rsid w:val="00FB4F84"/>
    <w:rsid w:val="00FB52F3"/>
    <w:rsid w:val="00FB556B"/>
    <w:rsid w:val="00FB62B8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9F69"/>
  <w15:docId w15:val="{0A61C8F2-A6DC-4004-9C52-3654D314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Hyperlink">
    <w:name w:val="Hyperlink"/>
    <w:basedOn w:val="DefaultParagraphFont"/>
    <w:unhideWhenUsed/>
    <w:rsid w:val="006B1327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62D1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roups.winnforum.org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027B0-0C93-40C2-A0E1-C7CB4645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2016-05-13T14:38:00Z</dcterms:created>
  <dcterms:modified xsi:type="dcterms:W3CDTF">2016-05-13T19:52:00Z</dcterms:modified>
</cp:coreProperties>
</file>